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Verdana" w:hAnsi="Verdana"/>
          <w:b/>
          <w:bCs/>
          <w:i w:val="false"/>
          <w:iCs w:val="false"/>
          <w:sz w:val="16"/>
          <w:szCs w:val="16"/>
        </w:rPr>
        <w:t>Załącznik nr  3</w:t>
      </w:r>
    </w:p>
    <w:p>
      <w:pPr>
        <w:pStyle w:val="Normal"/>
        <w:jc w:val="center"/>
        <w:rPr/>
      </w:pPr>
      <w:r>
        <w:rPr>
          <w:rFonts w:ascii="Verdana" w:hAnsi="Verdana"/>
          <w:b/>
          <w:bCs/>
          <w:i w:val="false"/>
          <w:iCs w:val="false"/>
          <w:sz w:val="16"/>
          <w:szCs w:val="16"/>
        </w:rPr>
        <w:t xml:space="preserve">do Opisu przedmiotu zamówienia na </w:t>
      </w:r>
      <w:r>
        <w:rPr>
          <w:rFonts w:ascii="Verdana" w:hAnsi="Verdana"/>
          <w:b/>
          <w:bCs/>
          <w:i w:val="false"/>
          <w:iCs w:val="false"/>
          <w:color w:val="000000"/>
          <w:sz w:val="16"/>
          <w:szCs w:val="16"/>
        </w:rPr>
        <w:t xml:space="preserve"> </w:t>
      </w:r>
      <w:r>
        <w:rPr>
          <w:rStyle w:val="Domylnaczcionkaakapitu"/>
          <w:rFonts w:ascii="Verdana" w:hAnsi="Verdana"/>
          <w:b/>
          <w:bCs/>
          <w:i w:val="false"/>
          <w:iCs w:val="false"/>
          <w:color w:val="000000"/>
          <w:sz w:val="16"/>
          <w:szCs w:val="16"/>
          <w:u w:val="none"/>
        </w:rPr>
        <w:t xml:space="preserve">opracowanie </w:t>
      </w:r>
      <w:r>
        <w:rPr>
          <w:rStyle w:val="Domylnaczcionkaakapitu"/>
          <w:rFonts w:cs="Verdana" w:ascii="Verdana" w:hAnsi="Verdana"/>
          <w:b/>
          <w:bCs/>
          <w:i w:val="false"/>
          <w:iCs w:val="false"/>
          <w:color w:val="000000"/>
          <w:sz w:val="16"/>
          <w:szCs w:val="16"/>
        </w:rPr>
        <w:t xml:space="preserve">dokumentacji projektowo – kosztorysowej dla zadania pn. </w:t>
      </w:r>
      <w:bookmarkStart w:id="0" w:name="_Hlk520224153"/>
      <w:r>
        <w:rPr>
          <w:rStyle w:val="Domylnaczcionkaakapitu"/>
          <w:rFonts w:cs="Verdana" w:ascii="Verdana" w:hAnsi="Verdana"/>
          <w:b/>
          <w:bCs/>
          <w:i/>
          <w:iCs/>
          <w:color w:val="000000"/>
          <w:sz w:val="16"/>
          <w:szCs w:val="16"/>
        </w:rPr>
        <w:t>„Rozbudowa i przebudowa Lotniska w Płocku wraz z niezbędną infrastrukturą techniczną”</w:t>
      </w:r>
      <w:bookmarkEnd w:id="0"/>
      <w:r>
        <w:rPr>
          <w:rStyle w:val="Domylnaczcionkaakapitu"/>
          <w:rFonts w:cs="Verdana" w:ascii="Verdana" w:hAnsi="Verdana"/>
          <w:b/>
          <w:bCs/>
          <w:i/>
          <w:iCs w:val="false"/>
          <w:color w:val="000000"/>
          <w:sz w:val="16"/>
          <w:szCs w:val="16"/>
        </w:rPr>
        <w:t xml:space="preserve"> </w:t>
      </w:r>
      <w:r>
        <w:rPr>
          <w:rStyle w:val="Domylnaczcionkaakapitu"/>
          <w:rFonts w:eastAsia="Verdana" w:cs="Verdana" w:ascii="Verdana" w:hAnsi="Verdana"/>
          <w:b/>
          <w:bCs/>
          <w:i w:val="false"/>
          <w:iCs w:val="false"/>
          <w:color w:val="000000"/>
          <w:sz w:val="16"/>
          <w:szCs w:val="16"/>
          <w:lang w:eastAsia="ar-SA"/>
        </w:rPr>
        <w:t xml:space="preserve">wraz z </w:t>
      </w:r>
      <w:r>
        <w:rPr>
          <w:rStyle w:val="Domylnaczcionkaakapitu"/>
          <w:rFonts w:eastAsia="Verdana" w:cs="Verdana" w:ascii="Verdana" w:hAnsi="Verdana"/>
          <w:b/>
          <w:bCs/>
          <w:i w:val="false"/>
          <w:iCs w:val="false"/>
          <w:color w:val="000000"/>
          <w:sz w:val="16"/>
          <w:szCs w:val="16"/>
        </w:rPr>
        <w:t xml:space="preserve">uzyskaniem decyzji </w:t>
      </w:r>
      <w:r>
        <w:rPr>
          <w:rStyle w:val="Domylnaczcionkaakapitu"/>
          <w:rFonts w:eastAsia="Verdana" w:cs="Verdana" w:ascii="Verdana" w:hAnsi="Verdana"/>
          <w:b/>
          <w:bCs/>
          <w:i w:val="false"/>
          <w:iCs w:val="false"/>
          <w:color w:val="000000"/>
          <w:sz w:val="16"/>
          <w:szCs w:val="16"/>
          <w:u w:val="none"/>
        </w:rPr>
        <w:t>o zezwoleniu na realizację inwestycji w zakresie lotniska użytku publicznego, pełnienie nadzoru autorskiego oraz  opracowanie i uzyskanie aktualizacji dokumentacji rejestracyjnej lotniska</w:t>
      </w:r>
      <w:r>
        <w:rPr>
          <w:rStyle w:val="Domylnaczcionkaakapitu"/>
          <w:rFonts w:eastAsia="Verdana" w:cs="Verdana" w:ascii="Verdana" w:hAnsi="Verdana"/>
          <w:b/>
          <w:bCs w:val="false"/>
          <w:i w:val="false"/>
          <w:iCs w:val="false"/>
          <w:color w:val="000000"/>
          <w:sz w:val="16"/>
          <w:szCs w:val="16"/>
          <w:u w:val="none"/>
        </w:rPr>
        <w:t>.</w:t>
      </w:r>
    </w:p>
    <w:p>
      <w:pPr>
        <w:pStyle w:val="Normal"/>
        <w:spacing w:lineRule="auto" w:line="240" w:before="0" w:after="0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</w:r>
    </w:p>
    <w:p>
      <w:pPr>
        <w:pStyle w:val="Normal"/>
        <w:jc w:val="center"/>
        <w:rPr/>
      </w:pPr>
      <w:r>
        <w:rPr>
          <w:rFonts w:ascii="Verdana" w:hAnsi="Verdana"/>
          <w:b/>
          <w:bCs/>
          <w:sz w:val="16"/>
          <w:szCs w:val="16"/>
        </w:rPr>
        <w:t>Tabela elementów scalonych</w:t>
      </w:r>
    </w:p>
    <w:tbl>
      <w:tblPr>
        <w:tblW w:w="14565" w:type="dxa"/>
        <w:jc w:val="lef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2" w:type="dxa"/>
          <w:bottom w:w="55" w:type="dxa"/>
          <w:right w:w="55" w:type="dxa"/>
        </w:tblCellMar>
      </w:tblPr>
      <w:tblGrid>
        <w:gridCol w:w="495"/>
        <w:gridCol w:w="6976"/>
        <w:gridCol w:w="797"/>
        <w:gridCol w:w="795"/>
        <w:gridCol w:w="1694"/>
        <w:gridCol w:w="6"/>
        <w:gridCol w:w="1464"/>
        <w:gridCol w:w="6"/>
        <w:gridCol w:w="849"/>
        <w:gridCol w:w="6"/>
        <w:gridCol w:w="1475"/>
      </w:tblGrid>
      <w:tr>
        <w:trPr/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rPr/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6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Wyszczególnienie elementów rozliczeniowych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Jedn.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Ilość jedn.</w:t>
            </w:r>
          </w:p>
        </w:tc>
        <w:tc>
          <w:tcPr>
            <w:tcW w:w="17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Cena jedn. Netto</w:t>
            </w:r>
          </w:p>
        </w:tc>
        <w:tc>
          <w:tcPr>
            <w:tcW w:w="14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Wartość Netto</w:t>
            </w:r>
          </w:p>
        </w:tc>
        <w:tc>
          <w:tcPr>
            <w:tcW w:w="8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VAT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Wartość Brutto</w:t>
            </w:r>
          </w:p>
        </w:tc>
      </w:tr>
      <w:tr>
        <w:trPr/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u w:val="none"/>
                <w:shd w:fill="FFFFFF" w:val="clear"/>
                <w:lang w:val="pl-PL"/>
              </w:rPr>
              <w:t>Opracowanie dokumentacji projektowo-kosztorysowej d</w:t>
            </w: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>la zadania pn. „</w:t>
            </w: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/>
                <w:iCs/>
                <w:color w:val="000000"/>
                <w:sz w:val="16"/>
                <w:szCs w:val="16"/>
                <w:highlight w:val="white"/>
                <w:u w:val="none"/>
                <w:lang w:val="pl-PL"/>
              </w:rPr>
              <w:t>Rozbudowa i przebudowa Lotniska w Płocku wraz z niezbędną infrastrukturą technicz</w:t>
            </w:r>
            <w:r>
              <w:rPr>
                <w:rStyle w:val="Domylnaczcionkaakapitu"/>
                <w:rFonts w:eastAsia="Verdana" w:cs="Verdana" w:ascii="Verdana" w:hAnsi="Verdana"/>
                <w:b/>
                <w:bCs/>
                <w:i/>
                <w:iCs/>
                <w:color w:val="000000"/>
                <w:sz w:val="16"/>
                <w:szCs w:val="16"/>
                <w:highlight w:val="white"/>
                <w:u w:val="none"/>
                <w:lang w:val="pl-PL"/>
              </w:rPr>
              <w:t>ną</w:t>
            </w: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>” wraz z uzyskaniem decyzji o pozwoleniu na budowę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Domylnie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Kpl</w:t>
            </w:r>
          </w:p>
          <w:p>
            <w:pPr>
              <w:pStyle w:val="Domylnie"/>
              <w:spacing w:before="0" w:after="20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4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8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/>
              <w:t>2</w:t>
            </w:r>
          </w:p>
        </w:tc>
        <w:tc>
          <w:tcPr>
            <w:tcW w:w="6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tabs>
                <w:tab w:val="left" w:pos="700" w:leader="none"/>
              </w:tabs>
              <w:bidi w:val="0"/>
              <w:spacing w:lineRule="auto" w:line="276" w:before="0" w:after="200"/>
              <w:ind w:right="0" w:hanging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eastAsia="Century Gothic" w:cs="Century Gothic" w:ascii="Verdana" w:hAnsi="Verdana"/>
                <w:sz w:val="16"/>
                <w:szCs w:val="16"/>
              </w:rPr>
              <w:t>Opracowanie dokumentacji rejestracyjnej lotniska i dokonanie aktualizacji dokumentacji rejestracyjnej lotniska, aktualizacji danych zawartych w Zintegrowanym Pakiecie Informacji Lotniczych (AIP VFR Polska), opracowanie wniosku o dokonanie zmian w Instrukcji operacyjnej lotniska Płocka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Domylni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Kpl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Domylni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8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49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976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both"/>
              <w:rPr/>
            </w:pPr>
            <w:r>
              <w:rPr>
                <w:rStyle w:val="Domylnaczcionkaakapitu"/>
                <w:rFonts w:cs="Verdana" w:ascii="Verdana" w:hAnsi="Verdana"/>
                <w:color w:val="000000"/>
                <w:sz w:val="16"/>
                <w:szCs w:val="16"/>
              </w:rPr>
              <w:t xml:space="preserve">Pełnienie nadzoru autorskiego nad robotami budowlanymi realizowanymi na podstawie </w:t>
            </w: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u w:val="none"/>
                <w:shd w:fill="FFFFFF" w:val="clear"/>
                <w:lang w:val="pl-PL"/>
              </w:rPr>
              <w:t>dokumentacji projektowo-kosztorysowej d</w:t>
            </w: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highlight w:val="white"/>
                <w:u w:val="none"/>
                <w:lang w:val="pl-PL"/>
              </w:rPr>
              <w:t>la zadania pn. „</w:t>
            </w:r>
            <w:r>
              <w:rPr>
                <w:rStyle w:val="Domylnaczcionkaakapitu"/>
                <w:rFonts w:eastAsia="Verdana" w:cs="Verdana" w:ascii="Verdana" w:hAnsi="Verdana"/>
                <w:b w:val="false"/>
                <w:bCs w:val="false"/>
                <w:i/>
                <w:iCs/>
                <w:color w:val="000000"/>
                <w:sz w:val="16"/>
                <w:szCs w:val="16"/>
                <w:highlight w:val="white"/>
                <w:u w:val="none"/>
                <w:lang w:val="pl-PL"/>
              </w:rPr>
              <w:t>Rozbudowa i przebudowa Lotniska w Płocku wraz z niezbędną infrastrukturą techniczną”</w:t>
            </w:r>
            <w:r>
              <w:rPr>
                <w:rStyle w:val="Domylnaczcionkaakapitu"/>
                <w:rFonts w:eastAsia="Times New Roman" w:cs="Times New Roman" w:ascii="Verdana" w:hAnsi="Verdana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u w:val="none"/>
                <w:shd w:fill="FFFFFF" w:val="clear"/>
                <w:lang w:val="pl-PL" w:eastAsia="zxx" w:bidi="zxx"/>
              </w:rPr>
              <w:t xml:space="preserve">, </w:t>
            </w:r>
            <w:r>
              <w:rPr>
                <w:rStyle w:val="Domylnaczcionkaakapitu"/>
                <w:rFonts w:eastAsia="Times New Roman" w:cs="Times New Roman" w:ascii="Verdana" w:hAnsi="Verdana"/>
                <w:b/>
                <w:bCs/>
                <w:i w:val="false"/>
                <w:iCs w:val="false"/>
                <w:color w:val="000000"/>
                <w:sz w:val="16"/>
                <w:szCs w:val="16"/>
                <w:u w:val="none"/>
                <w:shd w:fill="FFFFFF" w:val="clear"/>
                <w:lang w:val="pl-PL" w:eastAsia="zxx" w:bidi="zxx"/>
              </w:rPr>
              <w:t>w tym:</w:t>
            </w:r>
          </w:p>
        </w:tc>
        <w:tc>
          <w:tcPr>
            <w:tcW w:w="797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Pobyt</w:t>
            </w:r>
          </w:p>
        </w:tc>
        <w:tc>
          <w:tcPr>
            <w:tcW w:w="79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1700" w:type="dxa"/>
            <w:gridSpan w:val="2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center"/>
              <w:rPr>
                <w:u w:val="single"/>
              </w:rPr>
            </w:pPr>
            <w:r>
              <w:rPr>
                <w:rFonts w:ascii="Verdana" w:hAnsi="Verdana"/>
                <w:i/>
                <w:iCs/>
                <w:sz w:val="14"/>
                <w:szCs w:val="14"/>
                <w:u w:val="single"/>
              </w:rPr>
              <w:t>(Suma poz. 3.1 i 3.2)</w:t>
            </w:r>
          </w:p>
        </w:tc>
        <w:tc>
          <w:tcPr>
            <w:tcW w:w="1470" w:type="dxa"/>
            <w:gridSpan w:val="2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855" w:type="dxa"/>
            <w:gridSpan w:val="2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4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>
          <w:trHeight w:val="518" w:hRule="atLeast"/>
        </w:trPr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3.1</w:t>
            </w:r>
          </w:p>
        </w:tc>
        <w:tc>
          <w:tcPr>
            <w:tcW w:w="6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Bezodstpw"/>
              <w:spacing w:lineRule="auto" w:line="276"/>
              <w:jc w:val="both"/>
              <w:rPr/>
            </w:pPr>
            <w:r>
              <w:rPr>
                <w:rFonts w:ascii="Verdana" w:hAnsi="Verdana"/>
                <w:sz w:val="16"/>
                <w:szCs w:val="16"/>
              </w:rPr>
              <w:t xml:space="preserve">Koszt przyjazdu, pobytu na budowie i powrotu 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(w ramach jednego pobytu)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Pobyt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ascii="Verdana" w:hAnsi="Verdana"/>
                <w:sz w:val="16"/>
                <w:szCs w:val="16"/>
                <w:shd w:fill="FFFFFF" w:val="clear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</w:r>
          </w:p>
        </w:tc>
        <w:tc>
          <w:tcPr>
            <w:tcW w:w="14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B2B2B2" w:val="clear"/>
            <w:tcMar>
              <w:left w:w="22" w:type="dxa"/>
            </w:tcMar>
            <w:vAlign w:val="center"/>
          </w:tcPr>
          <w:p>
            <w:pPr>
              <w:pStyle w:val="Normal"/>
              <w:shd w:val="clear" w:fill="B3B3B3"/>
              <w:spacing w:lineRule="auto" w:line="240" w:before="0" w:after="0"/>
              <w:rPr>
                <w:rFonts w:ascii="Verdana" w:hAnsi="Verdana"/>
                <w:sz w:val="30"/>
                <w:szCs w:val="30"/>
              </w:rPr>
            </w:pPr>
            <w:r>
              <w:rPr>
                <w:rFonts w:ascii="Verdana" w:hAnsi="Verdana"/>
                <w:sz w:val="30"/>
                <w:szCs w:val="30"/>
              </w:rPr>
            </w:r>
          </w:p>
        </w:tc>
        <w:tc>
          <w:tcPr>
            <w:tcW w:w="8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B2B2B2" w:val="clear"/>
            <w:tcMar>
              <w:left w:w="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30"/>
                <w:szCs w:val="30"/>
              </w:rPr>
            </w:pPr>
            <w:r>
              <w:rPr>
                <w:rFonts w:asciiTheme="minorHAnsi" w:cstheme="minorBidi" w:eastAsiaTheme="minorHAnsi" w:hAnsiTheme="minorHAnsi"/>
              </w:rPr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B2B2B2" w:val="clear"/>
            <w:tcMar>
              <w:left w:w="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30"/>
                <w:szCs w:val="30"/>
              </w:rPr>
            </w:pPr>
            <w:r>
              <w:rPr>
                <w:rFonts w:asciiTheme="minorHAnsi" w:cstheme="minorBidi" w:eastAsiaTheme="minorHAnsi" w:hAnsiTheme="minorHAnsi"/>
              </w:rPr>
            </w:r>
          </w:p>
        </w:tc>
      </w:tr>
      <w:tr>
        <w:trPr/>
        <w:tc>
          <w:tcPr>
            <w:tcW w:w="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3.2</w:t>
            </w:r>
          </w:p>
        </w:tc>
        <w:tc>
          <w:tcPr>
            <w:tcW w:w="6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both"/>
              <w:rPr/>
            </w:pPr>
            <w:r>
              <w:rPr>
                <w:rFonts w:ascii="Verdana" w:hAnsi="Verdana"/>
                <w:sz w:val="16"/>
                <w:szCs w:val="16"/>
              </w:rPr>
              <w:t xml:space="preserve">Koszt wykonania czynności nadzoru autorskiego w ramach merytorycznego załatwienia sprawy 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(w ramach jednego pobytu)</w:t>
            </w:r>
          </w:p>
        </w:tc>
        <w:tc>
          <w:tcPr>
            <w:tcW w:w="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Pobyt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ascii="Verdana" w:hAnsi="Verdana"/>
                <w:sz w:val="16"/>
                <w:szCs w:val="16"/>
                <w:shd w:fill="FFFFFF" w:val="clear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center"/>
              <w:rPr>
                <w:rFonts w:ascii="Verdana" w:hAnsi="Verdana"/>
                <w:color w:val="000000"/>
                <w:sz w:val="16"/>
                <w:szCs w:val="16"/>
                <w:highlight w:val="red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highlight w:val="red"/>
              </w:rPr>
            </w:r>
          </w:p>
        </w:tc>
        <w:tc>
          <w:tcPr>
            <w:tcW w:w="14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B2B2B2" w:val="clear"/>
            <w:tcMar>
              <w:left w:w="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48"/>
                <w:szCs w:val="48"/>
              </w:rPr>
            </w:pPr>
            <w:r>
              <w:rPr/>
            </w:r>
          </w:p>
        </w:tc>
        <w:tc>
          <w:tcPr>
            <w:tcW w:w="8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B2B2B2" w:val="clear"/>
            <w:tcMar>
              <w:left w:w="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48"/>
                <w:szCs w:val="48"/>
              </w:rPr>
            </w:pPr>
            <w:r>
              <w:rPr/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B2B2B2" w:val="clear"/>
            <w:tcMar>
              <w:left w:w="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48"/>
                <w:szCs w:val="48"/>
              </w:rPr>
            </w:pPr>
            <w:r>
              <w:rPr/>
            </w:r>
          </w:p>
        </w:tc>
      </w:tr>
      <w:tr>
        <w:trPr/>
        <w:tc>
          <w:tcPr>
            <w:tcW w:w="1075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</w:tcPr>
          <w:p>
            <w:pPr>
              <w:pStyle w:val="Domylnie"/>
              <w:spacing w:before="0" w:after="200"/>
              <w:jc w:val="center"/>
              <w:rPr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4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Domylnie"/>
              <w:spacing w:before="0" w:after="2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8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Domylnie"/>
              <w:spacing w:before="0" w:after="2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48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Domylnie"/>
              <w:spacing w:before="0" w:after="2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</w:r>
    </w:p>
    <w:p>
      <w:pPr>
        <w:pStyle w:val="Normal"/>
        <w:rPr/>
      </w:pPr>
      <w:bookmarkStart w:id="1" w:name="_GoBack1"/>
      <w:bookmarkEnd w:id="1"/>
      <w:r>
        <w:rPr>
          <w:rFonts w:ascii="Verdana" w:hAnsi="Verdana"/>
          <w:b/>
          <w:bCs/>
          <w:sz w:val="16"/>
          <w:szCs w:val="16"/>
        </w:rPr>
        <w:t>Uwaga:</w:t>
      </w:r>
    </w:p>
    <w:p>
      <w:pPr>
        <w:pStyle w:val="Normal"/>
        <w:spacing w:lineRule="auto" w:line="240" w:before="0" w:after="0"/>
        <w:rPr/>
      </w:pPr>
      <w:r>
        <w:rPr>
          <w:rFonts w:ascii="Verdana" w:hAnsi="Verdana"/>
          <w:b/>
          <w:bCs/>
          <w:sz w:val="16"/>
          <w:szCs w:val="16"/>
        </w:rPr>
        <w:t>1. Pozycji zacieniowanych nie wypełnia się.</w:t>
      </w:r>
    </w:p>
    <w:p>
      <w:pPr>
        <w:pStyle w:val="Normal"/>
        <w:spacing w:lineRule="auto" w:line="240" w:before="0" w:after="0"/>
        <w:rPr/>
      </w:pPr>
      <w:r>
        <w:rPr>
          <w:rFonts w:ascii="Verdana" w:hAnsi="Verdana"/>
          <w:b/>
          <w:bCs/>
          <w:sz w:val="16"/>
          <w:szCs w:val="16"/>
        </w:rPr>
        <w:t xml:space="preserve">2. Cena jednostkowa Netto jednego pobytu (poz.3) w ramach nadzoru autorskiego stanowi sumę cen jedn. z poz. 3.1 i 3.2                        </w:t>
      </w:r>
    </w:p>
    <w:p>
      <w:pPr>
        <w:pStyle w:val="Normal"/>
        <w:spacing w:lineRule="auto" w:line="240" w:before="0" w:after="0"/>
        <w:rPr>
          <w:rFonts w:ascii="Verdana" w:hAnsi="Verdana"/>
          <w:b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Verdana" w:hAnsi="Verdana"/>
          <w:b/>
          <w:bCs/>
          <w:sz w:val="16"/>
          <w:szCs w:val="16"/>
        </w:rPr>
        <w:tab/>
        <w:tab/>
        <w:tab/>
        <w:tab/>
        <w:tab/>
        <w:tab/>
        <w:tab/>
        <w:tab/>
        <w:tab/>
        <w:tab/>
        <w:t>……………………………………………….</w:t>
      </w:r>
    </w:p>
    <w:p>
      <w:pPr>
        <w:pStyle w:val="Normal"/>
        <w:spacing w:lineRule="auto" w:line="240" w:before="0" w:after="0"/>
        <w:rPr/>
      </w:pPr>
      <w:r>
        <w:rPr>
          <w:rFonts w:ascii="Verdana" w:hAnsi="Verdana"/>
          <w:b/>
          <w:bCs/>
          <w:sz w:val="16"/>
          <w:szCs w:val="16"/>
        </w:rPr>
        <w:tab/>
        <w:t xml:space="preserve">       (PODPIS WYKONAWCY)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c2c2c"/>
    <w:pPr>
      <w:spacing w:before="0" w:after="160"/>
      <w:ind w:left="720" w:hanging="0"/>
      <w:contextualSpacing/>
    </w:pPr>
    <w:rPr/>
  </w:style>
  <w:style w:type="paragraph" w:styleId="Domylnie">
    <w:name w:val="Domyślnie"/>
    <w:qFormat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Calibri" w:asciiTheme="minorHAnsi" w:hAnsiTheme="minorHAnsi"/>
      <w:color w:val="00000A"/>
      <w:sz w:val="22"/>
      <w:szCs w:val="22"/>
      <w:lang w:val="pl-PL" w:eastAsia="en-US" w:bidi="ar-SA"/>
    </w:rPr>
  </w:style>
  <w:style w:type="paragraph" w:styleId="Bezodstpw">
    <w:name w:val="Bez odstępów"/>
    <w:qFormat/>
    <w:pPr>
      <w:widowControl/>
      <w:tabs>
        <w:tab w:val="left" w:pos="708" w:leader="none"/>
      </w:tabs>
      <w:suppressAutoHyphens w:val="true"/>
      <w:bidi w:val="0"/>
      <w:spacing w:lineRule="atLeast" w:line="100"/>
      <w:jc w:val="left"/>
    </w:pPr>
    <w:rPr>
      <w:rFonts w:ascii="Calibri" w:hAnsi="Calibri" w:eastAsia="Lucida Sans Unicode" w:cs="Calibri" w:asciiTheme="minorHAnsi" w:hAnsiTheme="minorHAnsi"/>
      <w:color w:val="00000A"/>
      <w:sz w:val="22"/>
      <w:szCs w:val="22"/>
      <w:lang w:val="pl-PL" w:eastAsia="en-US" w:bidi="ar-SA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46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Application>LibreOffice/5.3.3.2$Windows_x86 LibreOffice_project/3d9a8b4b4e538a85e0782bd6c2d430bafe583448</Application>
  <Pages>1</Pages>
  <Words>228</Words>
  <Characters>1521</Characters>
  <CharactersWithSpaces>1868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2017-03-14T17:00:00Z</dcterms:created>
  <dc:creator>kilagor</dc:creator>
  <dc:description/>
  <dc:language>pl-PL</dc:language>
  <cp:lastModifiedBy/>
  <cp:lastPrinted>2018-08-08T09:51:08Z</cp:lastPrinted>
  <dcterms:modified xsi:type="dcterms:W3CDTF">2020-01-16T11:59:49Z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